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0B08BA" w:rsidR="000F03CA" w:rsidP="705B34F6" w:rsidRDefault="000F03CA" w14:paraId="672A6659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0B08BA" w:rsidR="000B08BA" w:rsidTr="705B34F6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0B08BA" w:rsidR="006C0803" w:rsidP="705B34F6" w:rsidRDefault="006C0803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20755" w:rsidR="00D20755" w:rsidTr="705B34F6" w14:paraId="6155876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20755" w:rsidR="00056AF6" w:rsidP="705B34F6" w:rsidRDefault="006C0803" w14:paraId="101F719E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705B34F6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705B34F6" w:rsidR="007829E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Gestão do Conhecimento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20755" w:rsidR="00056AF6" w:rsidP="705B34F6" w:rsidRDefault="006C0803" w14:paraId="04BB32F8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705B34F6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705B34F6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705B34F6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1/1</w:t>
            </w:r>
          </w:p>
        </w:tc>
      </w:tr>
      <w:tr xmlns:wp14="http://schemas.microsoft.com/office/word/2010/wordml" w:rsidRPr="00D20755" w:rsidR="00D20755" w:rsidTr="705B34F6" w14:paraId="5EC195F1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20755" w:rsidR="00056AF6" w:rsidP="705B34F6" w:rsidRDefault="006C0803" w14:paraId="1EA34C1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705B34F6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Disciplina: </w:t>
            </w:r>
            <w:r w:rsidRPr="705B34F6" w:rsidR="000B08B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D0126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20755" w:rsidR="00056AF6" w:rsidP="705B34F6" w:rsidRDefault="006C0803" w14:paraId="3ADC64F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705B34F6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D20755" w:rsidR="00D20755" w:rsidTr="705B34F6" w14:paraId="57B2F455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20755" w:rsidR="003E2EC6" w:rsidP="705B34F6" w:rsidRDefault="003E2EC6" w14:paraId="16FAFCB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Carga Horária Total:</w:t>
            </w:r>
            <w:r w:rsidRPr="705B34F6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D20755" w:rsidR="00D20755" w:rsidTr="705B34F6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20755" w:rsidR="007331B1" w:rsidP="705B34F6" w:rsidRDefault="007331B1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705B34F6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20755" w:rsidR="007331B1" w:rsidP="705B34F6" w:rsidRDefault="007331B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proofErr w:type="spellStart"/>
            <w:r w:rsidRPr="705B34F6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705B34F6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20755" w:rsidR="00056AF6" w:rsidP="705B34F6" w:rsidRDefault="00056AF6" w14:paraId="0A37501D" wp14:textId="77777777">
      <w:pP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B08BA" w:rsidR="006C0803" w:rsidP="705B34F6" w:rsidRDefault="00624DC5" w14:paraId="2B60BCB3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705B34F6" w:rsidR="000B08B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D20755" w:rsidR="00624DC5" w:rsidP="705B34F6" w:rsidRDefault="000B08BA" w14:paraId="39275B6C" wp14:textId="77777777">
      <w:pPr>
        <w:pBdr>
          <w:bottom w:val="single" w:color="auto" w:sz="4" w:space="1"/>
        </w:pBd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705B34F6" w:rsidR="000B08BA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705B34F6" w:rsidR="00D322EE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705B34F6" w:rsidR="00694498">
        <w:rPr>
          <w:rFonts w:ascii="Arial" w:hAnsi="Arial" w:eastAsia="Arial" w:cs="Arial"/>
          <w:color w:val="auto"/>
          <w:sz w:val="22"/>
          <w:szCs w:val="22"/>
          <w:lang w:eastAsia="pt-BR"/>
        </w:rPr>
        <w:t>Vera Mota da Silva Barbosa</w:t>
      </w:r>
      <w:r w:rsidRPr="705B34F6" w:rsidR="000B08BA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, </w:t>
      </w:r>
      <w:proofErr w:type="spellStart"/>
      <w:r w:rsidRPr="705B34F6" w:rsidR="000B08BA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D20755" w:rsidR="00624DC5" w:rsidP="705B34F6" w:rsidRDefault="00624DC5" w14:paraId="5DAB6C7B" wp14:textId="77777777">
      <w:pP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B08BA" w:rsidR="0015066B" w:rsidP="705B34F6" w:rsidRDefault="0015066B" w14:paraId="28A8A2F3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D20755" w:rsidR="00D20755" w:rsidTr="705B34F6" w14:paraId="660D35B3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D30510" w:rsidR="0015066B" w:rsidP="705B34F6" w:rsidRDefault="0095468B" w14:paraId="077452AD" wp14:textId="3FE43F4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Características básicas da Gestão do Conhecimento. Sociedade da Informação e do Conhecimento. Principais abordagens utilizadas na Gestão do Conhecimento. O conhecimento e as organizações. Aprendizagem individual, organizacional e a cultura nas organizações. O processo de criação do Conhecimento. A evolução da Informação e do Conhecimento no contexto organizacional. Tecnologia da Informação e Comunicação e a Gestão do Conhecimento. Gestor orientado para pessoas e para o conhecimento; indicadores</w:t>
            </w:r>
          </w:p>
        </w:tc>
      </w:tr>
    </w:tbl>
    <w:p xmlns:wp14="http://schemas.microsoft.com/office/word/2010/wordml" w:rsidRPr="00D20755" w:rsidR="0015066B" w:rsidP="705B34F6" w:rsidRDefault="0015066B" w14:paraId="02EB378F" wp14:textId="77777777">
      <w:pP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B08BA" w:rsidR="0015066B" w:rsidP="705B34F6" w:rsidRDefault="0015066B" w14:paraId="0FF598A8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D20755" w:rsidR="00D20755" w:rsidTr="705B34F6" w14:paraId="06C67CD8" wp14:textId="77777777">
        <w:trPr>
          <w:trHeight w:val="637"/>
        </w:trPr>
        <w:tc>
          <w:tcPr>
            <w:tcW w:w="10773" w:type="dxa"/>
            <w:tcMar/>
          </w:tcPr>
          <w:p w:rsidRPr="000B08BA" w:rsidR="00EA5D6B" w:rsidP="705B34F6" w:rsidRDefault="00B02CDF" w14:paraId="24F518E9" wp14:textId="77777777">
            <w:pPr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>G</w:t>
            </w:r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 xml:space="preserve">erenciar o conhecimento das pessoas dentro de uma empresa, suas experiências, informações relevantes adquiridas com o tempo etc., facilitando o acesso e a utilização destas por qualquer pessoa interessada. Bem como os impactos que esta informação pode gerar. Este modelo de gestão pode ser </w:t>
            </w:r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>implementado</w:t>
            </w:r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 xml:space="preserve"> em empresas de diversos ramos, sejam elas de grande ou pequeno porte.</w:t>
            </w:r>
          </w:p>
        </w:tc>
      </w:tr>
    </w:tbl>
    <w:p xmlns:wp14="http://schemas.microsoft.com/office/word/2010/wordml" w:rsidRPr="00D20755" w:rsidR="000F03CA" w:rsidP="705B34F6" w:rsidRDefault="000F03CA" w14:paraId="6A05A809" wp14:textId="77777777">
      <w:pP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0B08BA" w:rsidR="000B08BA" w:rsidTr="705B34F6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0B08BA" w:rsidR="001C5C31" w:rsidP="705B34F6" w:rsidRDefault="001C5C31" w14:paraId="254454C3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20755" w:rsidR="00D20755" w:rsidTr="705B34F6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D20755" w:rsidR="001C5C31" w:rsidP="705B34F6" w:rsidRDefault="001C5C31" w14:paraId="170EC85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D20755" w:rsidR="001C5C31" w:rsidP="705B34F6" w:rsidRDefault="001C5C31" w14:paraId="7914F8CB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D20755" w:rsidR="00D20755" w:rsidTr="705B34F6" w14:paraId="7DD5FAF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1C5C31" w:rsidP="705B34F6" w:rsidRDefault="00EA5D6B" w14:paraId="5ADB943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  <w:r w:rsidRPr="705B34F6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do Conhecimento Organizacional</w:t>
            </w:r>
          </w:p>
        </w:tc>
        <w:tc>
          <w:tcPr>
            <w:tcW w:w="3993" w:type="pct"/>
            <w:tcMar/>
            <w:vAlign w:val="center"/>
          </w:tcPr>
          <w:p w:rsidRPr="00D20755" w:rsidR="003B43B7" w:rsidP="705B34F6" w:rsidRDefault="0084785A" w14:paraId="12366147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84785A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 xml:space="preserve">Desenvolver o raciocínio analítico acerca da aplicabilidade dos conceitos de gestão do conhecimento; </w:t>
            </w:r>
          </w:p>
        </w:tc>
      </w:tr>
      <w:tr xmlns:wp14="http://schemas.microsoft.com/office/word/2010/wordml" w:rsidRPr="00D20755" w:rsidR="00D20755" w:rsidTr="705B34F6" w14:paraId="63E2422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1C5C31" w:rsidP="705B34F6" w:rsidRDefault="00EA5D6B" w14:paraId="4C365A6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705B34F6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Conhecimento</w:t>
            </w:r>
          </w:p>
        </w:tc>
        <w:tc>
          <w:tcPr>
            <w:tcW w:w="3993" w:type="pct"/>
            <w:tcMar/>
            <w:vAlign w:val="center"/>
          </w:tcPr>
          <w:p w:rsidRPr="00D20755" w:rsidR="003B43B7" w:rsidP="705B34F6" w:rsidRDefault="00442F62" w14:paraId="00D2AE37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>A</w:t>
            </w: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>presentar os princípios da educação corporativa e sistema</w:t>
            </w:r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 xml:space="preserve">s educacionais nas organizações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>e</w:t>
            </w:r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 xml:space="preserve"> </w:t>
            </w: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 xml:space="preserve"> </w:t>
            </w: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>propor</w:t>
            </w:r>
            <w:proofErr w:type="gramEnd"/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 xml:space="preserve"> estudos que relacionem o desenvolvimento humano às competências críticas e essenciais às estratégias das organizações</w:t>
            </w:r>
          </w:p>
        </w:tc>
      </w:tr>
      <w:tr xmlns:wp14="http://schemas.microsoft.com/office/word/2010/wordml" w:rsidRPr="00D20755" w:rsidR="00D20755" w:rsidTr="705B34F6" w14:paraId="2079616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1C5C31" w:rsidP="705B34F6" w:rsidRDefault="00EA5D6B" w14:paraId="38F153C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  <w:r w:rsidRPr="705B34F6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Universidade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Corporativa</w:t>
            </w:r>
          </w:p>
        </w:tc>
        <w:tc>
          <w:tcPr>
            <w:tcW w:w="3993" w:type="pct"/>
            <w:tcMar/>
            <w:vAlign w:val="center"/>
          </w:tcPr>
          <w:p w:rsidRPr="00D20755" w:rsidR="003B43B7" w:rsidP="705B34F6" w:rsidRDefault="004F35AB" w14:paraId="536ACF50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>Facilitar a aquisição de uma visão sistêmica acerca das pessoas e de seu potencial nas organizações.</w:t>
            </w:r>
          </w:p>
        </w:tc>
      </w:tr>
      <w:tr xmlns:wp14="http://schemas.microsoft.com/office/word/2010/wordml" w:rsidRPr="00D20755" w:rsidR="00D20755" w:rsidTr="705B34F6" w14:paraId="4A6478D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1C5C31" w:rsidP="705B34F6" w:rsidRDefault="00EA5D6B" w14:paraId="62E6638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  <w:r w:rsidRPr="705B34F6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Conhecimento e sociedade</w:t>
            </w:r>
          </w:p>
        </w:tc>
        <w:tc>
          <w:tcPr>
            <w:tcW w:w="3993" w:type="pct"/>
            <w:tcMar/>
            <w:vAlign w:val="center"/>
          </w:tcPr>
          <w:p w:rsidRPr="00D20755" w:rsidR="006F78F6" w:rsidP="705B34F6" w:rsidRDefault="004F35AB" w14:paraId="08ED778E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9F9F9"/>
              </w:rPr>
              <w:t>Promover condições para que o alunado construa modelos de gestão baseados em gestão do conhecimento</w:t>
            </w:r>
          </w:p>
        </w:tc>
      </w:tr>
      <w:tr xmlns:wp14="http://schemas.microsoft.com/office/word/2010/wordml" w:rsidRPr="00D20755" w:rsidR="00D20755" w:rsidTr="705B34F6" w14:paraId="1AE9DF9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1C5C31" w:rsidP="705B34F6" w:rsidRDefault="00EA5D6B" w14:paraId="1366E098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  <w:r w:rsidRPr="705B34F6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</w:t>
            </w:r>
            <w:r w:rsidRPr="705B34F6" w:rsidR="001C33D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Conhecimento em ambiente globalizado</w:t>
            </w:r>
          </w:p>
        </w:tc>
        <w:tc>
          <w:tcPr>
            <w:tcW w:w="3993" w:type="pct"/>
            <w:tcMar/>
            <w:vAlign w:val="center"/>
          </w:tcPr>
          <w:p w:rsidRPr="00D20755" w:rsidR="00A62743" w:rsidP="705B34F6" w:rsidRDefault="004F35AB" w14:paraId="7EBED4A0" wp14:textId="77777777">
            <w:pPr>
              <w:shd w:val="clear" w:color="auto" w:fill="FFFFFF" w:themeFill="background1"/>
              <w:tabs>
                <w:tab w:val="left" w:pos="28"/>
              </w:tabs>
              <w:spacing w:before="100" w:beforeAutospacing="on" w:after="100" w:afterAutospacing="on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Tornar acessíveis grandes quantidades de informação organizacional, compartilhando as melhores práticas e tecnologias;</w:t>
            </w:r>
          </w:p>
        </w:tc>
      </w:tr>
      <w:tr xmlns:wp14="http://schemas.microsoft.com/office/word/2010/wordml" w:rsidRPr="00D20755" w:rsidR="00D20755" w:rsidTr="705B34F6" w14:paraId="4B51584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3B43B7" w:rsidP="705B34F6" w:rsidRDefault="00EA5D6B" w14:paraId="79283B7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  <w:r w:rsidRPr="705B34F6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4659F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Redes de conhecimento</w:t>
            </w:r>
          </w:p>
        </w:tc>
        <w:tc>
          <w:tcPr>
            <w:tcW w:w="3993" w:type="pct"/>
            <w:tcMar/>
            <w:vAlign w:val="center"/>
          </w:tcPr>
          <w:p w:rsidRPr="00D20755" w:rsidR="00A62743" w:rsidP="705B34F6" w:rsidRDefault="004F35AB" w14:paraId="546E9E8E" wp14:textId="77777777">
            <w:pPr>
              <w:shd w:val="clear" w:color="auto" w:fill="FFFFFF" w:themeFill="background1"/>
              <w:tabs>
                <w:tab w:val="left" w:pos="28"/>
              </w:tabs>
              <w:spacing w:before="100" w:beforeAutospacing="on" w:after="100" w:afterAutospacing="on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Permitir a identificação e mapeamento dos ativos de conhecimento e informações ligados a qualquer organização</w:t>
            </w: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, seja</w:t>
            </w: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ela com ou sem fins lucrativos (Memória Organizacional);</w:t>
            </w:r>
          </w:p>
        </w:tc>
      </w:tr>
      <w:tr xmlns:wp14="http://schemas.microsoft.com/office/word/2010/wordml" w:rsidRPr="00D20755" w:rsidR="00D20755" w:rsidTr="705B34F6" w14:paraId="622CF64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3B43B7" w:rsidP="705B34F6" w:rsidRDefault="00DE7D6B" w14:paraId="0C9CB63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705B34F6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4659F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Inteligência</w:t>
            </w:r>
            <w:r w:rsidRPr="705B34F6" w:rsidR="004659F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Competitiva</w:t>
            </w:r>
          </w:p>
        </w:tc>
        <w:tc>
          <w:tcPr>
            <w:tcW w:w="3993" w:type="pct"/>
            <w:tcMar/>
            <w:vAlign w:val="center"/>
          </w:tcPr>
          <w:p w:rsidRPr="00D20755" w:rsidR="00F913A0" w:rsidP="705B34F6" w:rsidRDefault="004F35AB" w14:paraId="571DE685" wp14:textId="77777777">
            <w:pPr>
              <w:shd w:val="clear" w:color="auto" w:fill="FFFFFF" w:themeFill="background1"/>
              <w:tabs>
                <w:tab w:val="left" w:pos="28"/>
              </w:tabs>
              <w:spacing w:before="100" w:beforeAutospacing="on" w:after="100" w:afterAutospacing="on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Apoiar a geração de novos conhecimentos, propiciando o estabelecimento de vantagens competitivas.</w:t>
            </w:r>
          </w:p>
        </w:tc>
      </w:tr>
      <w:tr xmlns:wp14="http://schemas.microsoft.com/office/word/2010/wordml" w:rsidRPr="00D20755" w:rsidR="00D20755" w:rsidTr="705B34F6" w14:paraId="066D23C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3B43B7" w:rsidP="705B34F6" w:rsidRDefault="00DE7D6B" w14:paraId="63FD13FF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  <w:r w:rsidRPr="705B34F6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D3051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4659F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Ferramenta</w:t>
            </w:r>
            <w:r w:rsidRPr="705B34F6" w:rsidR="004659F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para medição do conhecimento</w:t>
            </w:r>
          </w:p>
        </w:tc>
        <w:tc>
          <w:tcPr>
            <w:tcW w:w="3993" w:type="pct"/>
            <w:tcMar/>
            <w:vAlign w:val="center"/>
          </w:tcPr>
          <w:p w:rsidRPr="00D20755" w:rsidR="00F913A0" w:rsidP="705B34F6" w:rsidRDefault="004F35AB" w14:paraId="4F6FADE2" wp14:textId="77777777">
            <w:pPr>
              <w:shd w:val="clear" w:color="auto" w:fill="FFFFFF" w:themeFill="background1"/>
              <w:tabs>
                <w:tab w:val="left" w:pos="28"/>
              </w:tabs>
              <w:spacing w:before="100" w:beforeAutospacing="on" w:after="100" w:afterAutospacing="on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Dar vida aos dados tornando-os utilizáveis e úteis transformando-os em informação essencial ao nosso desenvolvimento pessoal e comunitário.</w:t>
            </w:r>
          </w:p>
        </w:tc>
      </w:tr>
      <w:tr xmlns:wp14="http://schemas.microsoft.com/office/word/2010/wordml" w:rsidRPr="00D20755" w:rsidR="00D20755" w:rsidTr="705B34F6" w14:paraId="265FA6C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3B43B7" w:rsidP="705B34F6" w:rsidRDefault="00DE7D6B" w14:paraId="58D99AF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  <w:r w:rsidRPr="705B34F6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4659F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Criação</w:t>
            </w:r>
            <w:r w:rsidRPr="705B34F6" w:rsidR="004659F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conhecimento e valor</w:t>
            </w:r>
          </w:p>
        </w:tc>
        <w:tc>
          <w:tcPr>
            <w:tcW w:w="3993" w:type="pct"/>
            <w:tcMar/>
            <w:vAlign w:val="center"/>
          </w:tcPr>
          <w:p w:rsidRPr="00D20755" w:rsidR="00F913A0" w:rsidP="705B34F6" w:rsidRDefault="004F35AB" w14:paraId="49FD3C29" wp14:textId="77777777">
            <w:pPr>
              <w:shd w:val="clear" w:color="auto" w:fill="FFFFFF" w:themeFill="background1"/>
              <w:tabs>
                <w:tab w:val="left" w:pos="28"/>
              </w:tabs>
              <w:spacing w:before="100" w:beforeAutospacing="on" w:after="100" w:afterAutospacing="on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Organizar e acrescentar lógica aos dados de forma a torná-los compreensíveis.</w:t>
            </w:r>
          </w:p>
        </w:tc>
      </w:tr>
      <w:tr xmlns:wp14="http://schemas.microsoft.com/office/word/2010/wordml" w:rsidRPr="00D20755" w:rsidR="00D20755" w:rsidTr="705B34F6" w14:paraId="2489A90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3B43B7" w:rsidP="705B34F6" w:rsidRDefault="00DE7D6B" w14:paraId="6513F3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  <w:r w:rsidRPr="705B34F6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Compartilhamento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conhecimento organizacional</w:t>
            </w:r>
          </w:p>
        </w:tc>
        <w:tc>
          <w:tcPr>
            <w:tcW w:w="3993" w:type="pct"/>
            <w:tcMar/>
            <w:vAlign w:val="center"/>
          </w:tcPr>
          <w:p w:rsidRPr="00D20755" w:rsidR="006F4634" w:rsidP="705B34F6" w:rsidRDefault="004F35AB" w14:paraId="71A845FA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Aumentar a competitividade da organização através da valorização de seus bens intangíveis</w:t>
            </w:r>
          </w:p>
        </w:tc>
      </w:tr>
      <w:tr xmlns:wp14="http://schemas.microsoft.com/office/word/2010/wordml" w:rsidRPr="00D20755" w:rsidR="00D20755" w:rsidTr="705B34F6" w14:paraId="24120EC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D45627" w:rsidP="705B34F6" w:rsidRDefault="00D45627" w14:paraId="20D3997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</w:t>
            </w:r>
            <w:r w:rsidRPr="705B34F6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423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Avaliação</w:t>
            </w:r>
            <w:r w:rsidRPr="705B34F6" w:rsidR="00423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Conhecimento nas Organizações</w:t>
            </w:r>
          </w:p>
        </w:tc>
        <w:tc>
          <w:tcPr>
            <w:tcW w:w="3993" w:type="pct"/>
            <w:tcMar/>
            <w:vAlign w:val="center"/>
          </w:tcPr>
          <w:p w:rsidRPr="00D20755" w:rsidR="00D45627" w:rsidP="705B34F6" w:rsidRDefault="004F35AB" w14:paraId="27C2D06A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>Aumentar</w:t>
            </w:r>
            <w:r w:rsidRPr="705B34F6" w:rsidR="00442F62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 xml:space="preserve">o desempenho das empresas, garantindo-lhes uma vantagem competitiva </w:t>
            </w:r>
            <w:r w:rsidRPr="705B34F6" w:rsidR="004F35AB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FFFFF"/>
              </w:rPr>
              <w:t>diferenciada</w:t>
            </w:r>
          </w:p>
        </w:tc>
      </w:tr>
      <w:tr xmlns:wp14="http://schemas.microsoft.com/office/word/2010/wordml" w:rsidRPr="00D20755" w:rsidR="00D20755" w:rsidTr="705B34F6" w14:paraId="1723328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D45627" w:rsidP="705B34F6" w:rsidRDefault="00D45627" w14:paraId="50DD82A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</w:t>
            </w:r>
            <w:r w:rsidRPr="705B34F6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Aprendizagem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organizacional</w:t>
            </w:r>
          </w:p>
        </w:tc>
        <w:tc>
          <w:tcPr>
            <w:tcW w:w="3993" w:type="pct"/>
            <w:tcMar/>
            <w:vAlign w:val="center"/>
          </w:tcPr>
          <w:p w:rsidRPr="00D20755" w:rsidR="00D45627" w:rsidP="705B34F6" w:rsidRDefault="00442F62" w14:paraId="53B0B7A2" wp14:textId="77777777">
            <w:pPr>
              <w:shd w:val="clear" w:color="auto" w:fill="FFFFFF" w:themeFill="background1"/>
              <w:tabs>
                <w:tab w:val="left" w:pos="28"/>
              </w:tabs>
              <w:spacing w:before="100" w:beforeAutospacing="on" w:after="100" w:afterAutospacing="on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Melhorar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</w:t>
            </w: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processos</w:t>
            </w:r>
            <w:proofErr w:type="gramEnd"/>
            <w:r w:rsidRPr="705B34F6" w:rsidR="004F35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internos e maior fluidez nas operações;</w:t>
            </w:r>
          </w:p>
        </w:tc>
      </w:tr>
      <w:tr xmlns:wp14="http://schemas.microsoft.com/office/word/2010/wordml" w:rsidRPr="00D20755" w:rsidR="00D20755" w:rsidTr="705B34F6" w14:paraId="0712784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D45627" w:rsidP="705B34F6" w:rsidRDefault="00D45627" w14:paraId="25CA47F7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</w:t>
            </w:r>
            <w:r w:rsidRPr="705B34F6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Principais desafios para a gestão do conhecimento</w:t>
            </w:r>
          </w:p>
        </w:tc>
        <w:tc>
          <w:tcPr>
            <w:tcW w:w="3993" w:type="pct"/>
            <w:tcMar/>
            <w:vAlign w:val="center"/>
          </w:tcPr>
          <w:p w:rsidRPr="00D20755" w:rsidR="00D45627" w:rsidP="705B34F6" w:rsidRDefault="00442F62" w14:paraId="2995A1FC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</w:t>
            </w: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</w:t>
            </w:r>
            <w:proofErr w:type="gramEnd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Processos de tomada de decisões dentre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 mais</w:t>
            </w:r>
            <w:proofErr w:type="gramEnd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eficientes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  os</w:t>
            </w:r>
            <w:proofErr w:type="gramEnd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melhores resultados;</w:t>
            </w:r>
          </w:p>
        </w:tc>
      </w:tr>
      <w:tr xmlns:wp14="http://schemas.microsoft.com/office/word/2010/wordml" w:rsidRPr="00D20755" w:rsidR="00D20755" w:rsidTr="705B34F6" w14:paraId="612AC30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D45627" w:rsidP="705B34F6" w:rsidRDefault="00D45627" w14:paraId="5E9EDC4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</w:t>
            </w:r>
            <w:r w:rsidRPr="705B34F6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Metas de conhecimento nas organizações</w:t>
            </w:r>
          </w:p>
        </w:tc>
        <w:tc>
          <w:tcPr>
            <w:tcW w:w="3993" w:type="pct"/>
            <w:tcMar/>
            <w:vAlign w:val="center"/>
          </w:tcPr>
          <w:p w:rsidRPr="00D20755" w:rsidR="00D45627" w:rsidP="705B34F6" w:rsidRDefault="00442F62" w14:paraId="77F37DC7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Melhorar o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conhecimento</w:t>
            </w: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na</w:t>
            </w:r>
            <w:proofErr w:type="gramEnd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coordenação de esforços entre unidades de negócios e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estabelecimentos</w:t>
            </w:r>
            <w:proofErr w:type="gramEnd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metas comuns na organização</w:t>
            </w:r>
          </w:p>
        </w:tc>
      </w:tr>
      <w:tr xmlns:wp14="http://schemas.microsoft.com/office/word/2010/wordml" w:rsidRPr="00D20755" w:rsidR="00D20755" w:rsidTr="705B34F6" w14:paraId="30B341A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D45627" w:rsidP="705B34F6" w:rsidRDefault="00D45627" w14:paraId="5A64643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</w:t>
            </w:r>
            <w:r w:rsidRPr="705B34F6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Conhecimento e Inovação</w:t>
            </w:r>
            <w:r w:rsidRPr="705B34F6" w:rsidR="00402BC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993" w:type="pct"/>
            <w:tcMar/>
            <w:vAlign w:val="center"/>
          </w:tcPr>
          <w:p w:rsidRPr="00D20755" w:rsidR="00D45627" w:rsidP="705B34F6" w:rsidRDefault="00442F62" w14:paraId="0683262E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Conhecer as estratégias de inovação que se aplicam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á</w:t>
            </w:r>
            <w:proofErr w:type="gramEnd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 do conhecimento proporcionando melhorias profissionais</w:t>
            </w:r>
          </w:p>
        </w:tc>
      </w:tr>
      <w:tr xmlns:wp14="http://schemas.microsoft.com/office/word/2010/wordml" w:rsidRPr="00D20755" w:rsidR="00D20755" w:rsidTr="705B34F6" w14:paraId="3539AC5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B08BA" w:rsidR="00D45627" w:rsidP="705B34F6" w:rsidRDefault="00D45627" w14:paraId="7793787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</w:t>
            </w:r>
            <w:r w:rsidRPr="705B34F6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705B34F6" w:rsidR="000B08B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</w:t>
            </w:r>
            <w:r w:rsidRPr="705B34F6" w:rsidR="00B450A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Estratégica de Competências</w:t>
            </w:r>
          </w:p>
        </w:tc>
        <w:tc>
          <w:tcPr>
            <w:tcW w:w="3993" w:type="pct"/>
            <w:tcMar/>
            <w:vAlign w:val="center"/>
          </w:tcPr>
          <w:p w:rsidRPr="00D20755" w:rsidR="00D45627" w:rsidP="705B34F6" w:rsidRDefault="00442F62" w14:paraId="05951476" wp14:textId="77777777">
            <w:pPr>
              <w:tabs>
                <w:tab w:val="left" w:pos="28"/>
              </w:tabs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Identificar e promover competências que agregam valor ao profissional e </w:t>
            </w:r>
            <w:proofErr w:type="gramStart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á</w:t>
            </w:r>
            <w:proofErr w:type="gramEnd"/>
            <w:r w:rsidRPr="705B34F6" w:rsidR="00442F6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corporação</w:t>
            </w:r>
          </w:p>
        </w:tc>
      </w:tr>
    </w:tbl>
    <w:p xmlns:wp14="http://schemas.microsoft.com/office/word/2010/wordml" w:rsidRPr="00D20755" w:rsidR="001C0B6F" w:rsidP="705B34F6" w:rsidRDefault="001C0B6F" w14:paraId="5A39BBE3" wp14:textId="77777777">
      <w:pP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0B08BA" w:rsidR="001C0B6F" w:rsidP="705B34F6" w:rsidRDefault="001C0B6F" w14:paraId="0FC5A14B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20755" w:rsidR="00D20755" w:rsidTr="705B34F6" w14:paraId="2F006637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D20755" w:rsidR="00B02CDF" w:rsidP="705B34F6" w:rsidRDefault="00B02CDF" w14:paraId="7AFB7F32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AFAFA"/>
              </w:rPr>
              <w:t>Permitir uma visão global das questões que envolvem o gerenciamento da informação e do conhecimento nas organizações do conhecimento a partir de concepções teóricas e práticas contemporâneas.</w:t>
            </w:r>
            <w:r w:rsidRPr="705B34F6" w:rsidR="002B090F">
              <w:rPr>
                <w:rFonts w:ascii="Arial" w:hAnsi="Arial" w:eastAsia="Arial" w:cs="Arial"/>
                <w:color w:val="auto" w:themeColor="text1"/>
                <w:sz w:val="22"/>
                <w:szCs w:val="22"/>
                <w:shd w:val="clear" w:color="auto" w:fill="FAFAFA"/>
              </w:rPr>
              <w:t xml:space="preserve"> </w:t>
            </w:r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  <w:t xml:space="preserve">Elaborar e desenvolver pesquisas na área da Gestão do Conhecimento, reconhecer sistemas </w:t>
            </w:r>
            <w:proofErr w:type="gramStart"/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  <w:t>de</w:t>
            </w:r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  <w:t xml:space="preserve">  </w:t>
            </w:r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  <w:t>planejamento</w:t>
            </w:r>
            <w:proofErr w:type="gramEnd"/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  <w:t xml:space="preserve"> estratégico na </w:t>
            </w:r>
            <w:proofErr w:type="gramStart"/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  <w:t>área ;</w:t>
            </w:r>
            <w:proofErr w:type="gramEnd"/>
            <w:r w:rsidRPr="705B34F6" w:rsidR="00B02CDF"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  <w:t>.</w:t>
            </w:r>
          </w:p>
          <w:p w:rsidRPr="00D20755" w:rsidR="00B02CDF" w:rsidP="705B34F6" w:rsidRDefault="00B02CDF" w14:paraId="2C3B2F2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Realizar análises críticas a respeito da Gestão do Conhecimento e suas </w:t>
            </w:r>
            <w:proofErr w:type="gramStart"/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praticas</w:t>
            </w:r>
            <w:proofErr w:type="gramEnd"/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; Avaliar pessoas e </w:t>
            </w:r>
            <w:proofErr w:type="gramStart"/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corporações</w:t>
            </w:r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na</w:t>
            </w:r>
            <w:proofErr w:type="gramEnd"/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inserção das melhorias relacionados a eficiência </w:t>
            </w:r>
            <w:proofErr w:type="gramStart"/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  eficácia</w:t>
            </w:r>
            <w:proofErr w:type="gramEnd"/>
            <w:r w:rsidRPr="705B34F6" w:rsidR="00B02CD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comunicação.</w:t>
            </w:r>
          </w:p>
        </w:tc>
      </w:tr>
    </w:tbl>
    <w:p xmlns:wp14="http://schemas.microsoft.com/office/word/2010/wordml" w:rsidRPr="00D20755" w:rsidR="001C0B6F" w:rsidP="705B34F6" w:rsidRDefault="001C0B6F" w14:paraId="41C8F396" wp14:textId="77777777">
      <w:pPr>
        <w:spacing w:after="0"/>
        <w:jc w:val="both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0B08BA" w:rsidR="000B08BA" w:rsidTr="705B34F6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0B08BA" w:rsidR="00FF7118" w:rsidP="705B34F6" w:rsidRDefault="00FF7118" w14:paraId="56F38D5B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705B34F6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D20755" w:rsidR="00D20755" w:rsidTr="705B34F6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D20755" w:rsidR="00F90F7D" w:rsidP="705B34F6" w:rsidRDefault="00F90F7D" w14:paraId="3845BD73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F90F7D" w:rsidP="705B34F6" w:rsidRDefault="00E2397A" w14:paraId="49EF766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705B34F6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D20755" w:rsidR="00F90F7D" w:rsidP="705B34F6" w:rsidRDefault="00F90F7D" w14:paraId="11589258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20755" w:rsidR="00F90F7D" w:rsidP="705B34F6" w:rsidRDefault="00F90F7D" w14:paraId="040669B2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D20755" w:rsidR="00F90F7D" w:rsidP="705B34F6" w:rsidRDefault="00F90F7D" w14:paraId="619350ED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D20755" w:rsidR="00F90F7D" w:rsidP="705B34F6" w:rsidRDefault="00F90F7D" w14:paraId="382539A4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D20755" w:rsidR="00B25DC5" w:rsidTr="705B34F6" w14:paraId="5A73E6F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649841BE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D20755" w:rsidR="00B25DC5" w:rsidP="705B34F6" w:rsidRDefault="00B25DC5" w14:paraId="72A3D3EC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004906CD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do Conhecimento Organizacional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2915B9" w:rsidR="00B25DC5" w:rsidP="705B34F6" w:rsidRDefault="00B25DC5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2915B9" w:rsidR="00B25DC5" w:rsidP="705B34F6" w:rsidRDefault="00B25DC5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0D0B940D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2088C09A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0E27B00A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7B99CCA6" wp14:textId="77777777">
        <w:tc>
          <w:tcPr>
            <w:tcW w:w="984" w:type="dxa"/>
            <w:vMerge/>
            <w:tcMar/>
            <w:vAlign w:val="center"/>
          </w:tcPr>
          <w:p w:rsidRPr="00D20755" w:rsidR="00B25DC5" w:rsidP="00D20755" w:rsidRDefault="00B25DC5" w14:paraId="60061E4C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247168E3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do Conhecimento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B25DC5" w:rsidP="00D20755" w:rsidRDefault="00B25DC5" w14:paraId="44EAFD9C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B25DC5" w:rsidP="00D20755" w:rsidRDefault="00B25DC5" w14:paraId="4B94D5A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180372B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3DEEC669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18F999B5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047687B8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3 -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Universidade Corporativa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2915B9" w:rsidR="00B25DC5" w:rsidP="705B34F6" w:rsidRDefault="00B25DC5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2915B9" w:rsidR="00B25DC5" w:rsidP="705B34F6" w:rsidRDefault="00B25DC5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3656B9AB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27D4F52D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45FB0818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2EEF9C02" wp14:textId="77777777">
        <w:tc>
          <w:tcPr>
            <w:tcW w:w="984" w:type="dxa"/>
            <w:vMerge/>
            <w:tcMar/>
            <w:vAlign w:val="center"/>
          </w:tcPr>
          <w:p w:rsidRPr="00D20755" w:rsidR="00B25DC5" w:rsidP="00D20755" w:rsidRDefault="00B25DC5" w14:paraId="049F31CB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3AFB4625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Conhecimento e sociedade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B25DC5" w:rsidP="00D20755" w:rsidRDefault="00B25DC5" w14:paraId="53128261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B25DC5" w:rsidP="00D20755" w:rsidRDefault="00B25DC5" w14:paraId="62486C0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7B7D0E9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5FCD5EC4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4656B958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5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do Conhecimento em ambiente globalizado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2915B9" w:rsidR="00B25DC5" w:rsidP="705B34F6" w:rsidRDefault="00B25DC5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2915B9" w:rsidR="00B25DC5" w:rsidP="705B34F6" w:rsidRDefault="00B25DC5" w14:paraId="1CE6D0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on-line A</w:t>
            </w:r>
          </w:p>
          <w:p w:rsidRPr="002915B9" w:rsidR="00B25DC5" w:rsidP="705B34F6" w:rsidRDefault="00B25DC5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4101652C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3EB62759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4B99056E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49BAEB8A" wp14:textId="77777777">
        <w:tc>
          <w:tcPr>
            <w:tcW w:w="984" w:type="dxa"/>
            <w:vMerge/>
            <w:tcMar/>
            <w:vAlign w:val="center"/>
          </w:tcPr>
          <w:p w:rsidRPr="00D20755" w:rsidR="00B25DC5" w:rsidP="00D20755" w:rsidRDefault="00B25DC5" w14:paraId="1299C43A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26260910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6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Redes de conhecimento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B25DC5" w:rsidP="00D20755" w:rsidRDefault="00B25DC5" w14:paraId="4DDBEF00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B25DC5" w:rsidP="00D20755" w:rsidRDefault="00B25DC5" w14:paraId="3461D779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2195B61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2598DEE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6C3167B7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7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Inteligência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Competitiva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2915B9" w:rsidR="00B25DC5" w:rsidP="705B34F6" w:rsidRDefault="00B25DC5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2915B9" w:rsidR="00B25DC5" w:rsidP="705B34F6" w:rsidRDefault="00B25DC5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3CF2D8B6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1DF44421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0FB78278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D20755" w:rsidTr="705B34F6" w14:paraId="4E81E3D6" wp14:textId="77777777">
        <w:tc>
          <w:tcPr>
            <w:tcW w:w="984" w:type="dxa"/>
            <w:vMerge/>
            <w:tcMar/>
            <w:vAlign w:val="center"/>
          </w:tcPr>
          <w:p w:rsidRPr="00D20755" w:rsidR="00124A38" w:rsidP="00D20755" w:rsidRDefault="00124A38" w14:paraId="1FC39945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124A38" w:rsidP="705B34F6" w:rsidRDefault="00124A38" w14:paraId="296449CB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8 - </w:t>
            </w:r>
            <w:r w:rsidRPr="705B34F6" w:rsidR="00124A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Ferramenta para medição do conhecimento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124A38" w:rsidP="00D20755" w:rsidRDefault="00124A38" w14:paraId="0562CB0E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124A38" w:rsidP="00D20755" w:rsidRDefault="00124A38" w14:paraId="34CE0A41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D20755" w:rsidTr="705B34F6" w14:paraId="01F5269F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D20755" w:rsidR="00124A38" w:rsidP="705B34F6" w:rsidRDefault="00124A38" w14:paraId="78941E47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20755" w:rsidR="00124A38" w:rsidP="705B34F6" w:rsidRDefault="00124A38" w14:paraId="52ECA974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20755" w:rsidR="00124A38" w:rsidP="705B34F6" w:rsidRDefault="00124A38" w14:paraId="7219A922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20755" w:rsidR="00B25DC5" w:rsidTr="705B34F6" w14:paraId="45EFF24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29B4EA11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4CE1E31C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9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Criação do conhecimento e valor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2915B9" w:rsidR="00B25DC5" w:rsidP="705B34F6" w:rsidRDefault="00B25DC5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2915B9" w:rsidR="00B25DC5" w:rsidP="705B34F6" w:rsidRDefault="00B25DC5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62EBF3C5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1B61B5BD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6D98A12B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71184001" wp14:textId="77777777">
        <w:tc>
          <w:tcPr>
            <w:tcW w:w="984" w:type="dxa"/>
            <w:vMerge/>
            <w:tcMar/>
            <w:vAlign w:val="center"/>
          </w:tcPr>
          <w:p w:rsidRPr="00D20755" w:rsidR="00B25DC5" w:rsidP="00D20755" w:rsidRDefault="00B25DC5" w14:paraId="2946DB82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5048BA2A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10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Compartilhamento de conhecimento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B25DC5" w:rsidP="00D20755" w:rsidRDefault="00B25DC5" w14:paraId="5997CC1D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B25DC5" w:rsidP="00D20755" w:rsidRDefault="00B25DC5" w14:paraId="110FFD37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596238B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6B699379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75697EEC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4EE517CB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11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Avaliação do Conhecimento nas Organizações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2915B9" w:rsidR="00B25DC5" w:rsidP="705B34F6" w:rsidRDefault="00B25DC5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2915B9" w:rsidR="00B25DC5" w:rsidP="705B34F6" w:rsidRDefault="00B25DC5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2915B9" w:rsidR="00B25DC5" w:rsidP="705B34F6" w:rsidRDefault="00B25DC5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3FE9F23F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1F72F646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05BD73D3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08CE6F91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6C71E38F" wp14:textId="77777777">
        <w:tc>
          <w:tcPr>
            <w:tcW w:w="984" w:type="dxa"/>
            <w:vMerge/>
            <w:tcMar/>
            <w:vAlign w:val="center"/>
          </w:tcPr>
          <w:p w:rsidRPr="00D20755" w:rsidR="00B25DC5" w:rsidP="00D20755" w:rsidRDefault="00B25DC5" w14:paraId="61CDCEAD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045D766A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12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Aprendizagem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B25DC5" w:rsidP="00D20755" w:rsidRDefault="00B25DC5" w14:paraId="6BB9E25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B25DC5" w:rsidP="00D20755" w:rsidRDefault="00B25DC5" w14:paraId="23DE523C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44AF2F4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44B0A208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52E56223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07CAF29F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13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Principais desafios para a gestão do conhecimento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2915B9" w:rsidR="00B25DC5" w:rsidP="705B34F6" w:rsidRDefault="00B25DC5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2915B9" w:rsidR="00B25DC5" w:rsidP="705B34F6" w:rsidRDefault="00B25DC5" w14:paraId="5C537F9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on-line B </w:t>
            </w:r>
          </w:p>
          <w:p w:rsidRPr="002915B9" w:rsidR="00B25DC5" w:rsidP="705B34F6" w:rsidRDefault="00B25DC5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07547A01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5043CB0F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31C9E8DF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07459315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7CF60A69" wp14:textId="77777777">
        <w:tc>
          <w:tcPr>
            <w:tcW w:w="984" w:type="dxa"/>
            <w:vMerge/>
            <w:tcMar/>
            <w:vAlign w:val="center"/>
          </w:tcPr>
          <w:p w:rsidRPr="00D20755" w:rsidR="00B25DC5" w:rsidP="00D20755" w:rsidRDefault="00B25DC5" w14:paraId="6537F28F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2B035931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14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Metas de conhecimento nas organizações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B25DC5" w:rsidP="00D20755" w:rsidRDefault="00B25DC5" w14:paraId="6DFB9E20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B25DC5" w:rsidP="00D20755" w:rsidRDefault="00B25DC5" w14:paraId="70DF9E56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B25DC5" w:rsidTr="705B34F6" w14:paraId="2045157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2B2B7304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B25DC5" w:rsidP="705B34F6" w:rsidRDefault="00B25DC5" w14:paraId="32461FC9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B25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Conhecimento e Inovação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915B9" w:rsidR="00B25DC5" w:rsidP="705B34F6" w:rsidRDefault="00B25DC5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2915B9" w:rsidR="00B25DC5" w:rsidP="705B34F6" w:rsidRDefault="00B25DC5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20755" w:rsidR="00B25DC5" w:rsidP="705B34F6" w:rsidRDefault="00B25DC5" w14:paraId="44E871BC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D20755" w:rsidR="00B25DC5" w:rsidP="705B34F6" w:rsidRDefault="00B25DC5" w14:paraId="52DE97E5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B25DC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20755" w:rsidR="00B25DC5" w:rsidP="705B34F6" w:rsidRDefault="00B25DC5" w14:paraId="144A5D23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20755" w:rsidR="00D20755" w:rsidTr="705B34F6" w14:paraId="146F45D8" wp14:textId="77777777">
        <w:tc>
          <w:tcPr>
            <w:tcW w:w="984" w:type="dxa"/>
            <w:vMerge/>
            <w:tcMar/>
            <w:vAlign w:val="center"/>
          </w:tcPr>
          <w:p w:rsidRPr="00D20755" w:rsidR="00124A38" w:rsidP="00D20755" w:rsidRDefault="00124A38" w14:paraId="738610EB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20755" w:rsidR="00124A38" w:rsidP="705B34F6" w:rsidRDefault="00124A38" w14:paraId="5911E7DC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705B34F6" w:rsidR="00124A3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124A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Estratégica de Competências</w:t>
            </w:r>
          </w:p>
        </w:tc>
        <w:tc>
          <w:tcPr>
            <w:tcW w:w="3828" w:type="dxa"/>
            <w:vMerge/>
            <w:tcMar/>
            <w:vAlign w:val="center"/>
          </w:tcPr>
          <w:p w:rsidRPr="00D20755" w:rsidR="00124A38" w:rsidP="00D20755" w:rsidRDefault="00124A38" w14:paraId="637805D2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20755" w:rsidR="00124A38" w:rsidP="00D20755" w:rsidRDefault="00124A38" w14:paraId="463F29E8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20755" w:rsidR="00D20755" w:rsidTr="705B34F6" w14:paraId="2A6C5E52" wp14:textId="77777777">
        <w:trPr>
          <w:trHeight w:val="333"/>
        </w:trPr>
        <w:tc>
          <w:tcPr>
            <w:tcW w:w="984" w:type="dxa"/>
            <w:shd w:val="clear" w:color="auto" w:fill="auto"/>
            <w:tcMar/>
            <w:vAlign w:val="center"/>
          </w:tcPr>
          <w:p w:rsidRPr="00D20755" w:rsidR="00124A38" w:rsidP="705B34F6" w:rsidRDefault="00124A38" w14:paraId="5D36975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20755" w:rsidR="00124A38" w:rsidP="705B34F6" w:rsidRDefault="00124A38" w14:paraId="7E993806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</w:t>
            </w: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05B34F6" w:rsidR="00124A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20755" w:rsidR="00124A38" w:rsidP="705B34F6" w:rsidRDefault="00124A38" w14:paraId="63BB83BE" wp14:textId="77777777">
            <w:pPr>
              <w:spacing w:after="0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705B34F6" w:rsidR="00124A3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D20755" w:rsidR="000F03CA" w:rsidP="705B34F6" w:rsidRDefault="000F03CA" w14:paraId="3B7B4B86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B08BA" w:rsidR="00ED1317" w:rsidP="705B34F6" w:rsidRDefault="00ED1317" w14:paraId="7B407D1A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ED13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D20755" w:rsidR="00D20755" w:rsidTr="705B34F6" w14:paraId="1E496E04" wp14:textId="77777777">
        <w:tc>
          <w:tcPr>
            <w:tcW w:w="10773" w:type="dxa"/>
            <w:tcMar/>
            <w:vAlign w:val="bottom"/>
          </w:tcPr>
          <w:p w:rsidRPr="00D20755" w:rsidR="00100AE1" w:rsidP="705B34F6" w:rsidRDefault="00100AE1" w14:paraId="0681C404" wp14:textId="77777777">
            <w:pPr>
              <w:pStyle w:val="SemEspaamento"/>
              <w:tabs>
                <w:tab w:val="left" w:pos="176"/>
              </w:tabs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As disciplinas 100% on-line, cuja duração é de 10 semanas letivas, são estruturadas a partir da seguinte modelagem:</w:t>
            </w:r>
          </w:p>
          <w:p w:rsidRPr="00D20755" w:rsidR="00100AE1" w:rsidP="705B34F6" w:rsidRDefault="00100AE1" w14:paraId="2B837761" wp14:textId="77777777">
            <w:pPr>
              <w:pStyle w:val="SemEspaamento"/>
              <w:tabs>
                <w:tab w:val="left" w:pos="459"/>
              </w:tabs>
              <w:spacing w:line="276" w:lineRule="auto"/>
              <w:ind w:firstLine="318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D20755" w:rsidR="00100AE1" w:rsidP="705B34F6" w:rsidRDefault="00100AE1" w14:paraId="3F5B1986" wp14:textId="77777777">
            <w:pPr>
              <w:pStyle w:val="SemEspaamento"/>
              <w:tabs>
                <w:tab w:val="left" w:pos="459"/>
              </w:tabs>
              <w:spacing w:line="276" w:lineRule="auto"/>
              <w:ind w:firstLine="318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D20755" w:rsidR="00100AE1" w:rsidP="705B34F6" w:rsidRDefault="00100AE1" w14:paraId="03946FA9" wp14:textId="77777777">
            <w:pPr>
              <w:pStyle w:val="SemEspaamento"/>
              <w:tabs>
                <w:tab w:val="left" w:pos="459"/>
              </w:tabs>
              <w:spacing w:line="276" w:lineRule="auto"/>
              <w:ind w:firstLine="318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D20755" w:rsidR="00100AE1" w:rsidP="705B34F6" w:rsidRDefault="00100AE1" w14:paraId="3FC87D1E" wp14:textId="77777777">
            <w:pPr>
              <w:pStyle w:val="SemEspaamento"/>
              <w:tabs>
                <w:tab w:val="left" w:pos="459"/>
              </w:tabs>
              <w:spacing w:line="276" w:lineRule="auto"/>
              <w:ind w:firstLine="318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D20755" w:rsidR="00100AE1" w:rsidP="705B34F6" w:rsidRDefault="00100AE1" w14:paraId="4EB13C27" wp14:textId="77777777">
            <w:pPr>
              <w:pStyle w:val="SemEspaamento"/>
              <w:tabs>
                <w:tab w:val="left" w:pos="459"/>
              </w:tabs>
              <w:spacing w:line="276" w:lineRule="auto"/>
              <w:ind w:firstLine="318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D20755" w:rsidR="00100AE1" w:rsidP="705B34F6" w:rsidRDefault="00100AE1" w14:paraId="388BF6E2" wp14:textId="77777777">
            <w:pPr>
              <w:pStyle w:val="SemEspaamento"/>
              <w:tabs>
                <w:tab w:val="left" w:pos="459"/>
              </w:tabs>
              <w:spacing w:line="276" w:lineRule="auto"/>
              <w:ind w:firstLine="318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0B08BA" w:rsidR="00ED1317" w:rsidP="705B34F6" w:rsidRDefault="00100AE1" w14:paraId="575AFF30" wp14:textId="77777777">
            <w:pPr>
              <w:pStyle w:val="SemEspaamento"/>
              <w:tabs>
                <w:tab w:val="left" w:pos="459"/>
              </w:tabs>
              <w:spacing w:line="276" w:lineRule="auto"/>
              <w:ind w:firstLine="318"/>
              <w:contextualSpacing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705B34F6" w:rsidR="00100A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D20755" w:rsidR="00ED1317" w:rsidP="705B34F6" w:rsidRDefault="00ED1317" w14:paraId="3A0FF5F2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B08BA" w:rsidR="003650C1" w:rsidP="705B34F6" w:rsidRDefault="003650C1" w14:paraId="0E8B5BFA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705B34F6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20755" w:rsidR="00D20755" w:rsidTr="705B34F6" w14:paraId="1910FCD1" wp14:textId="77777777">
        <w:tc>
          <w:tcPr>
            <w:tcW w:w="10773" w:type="dxa"/>
            <w:tcMar/>
            <w:vAlign w:val="bottom"/>
          </w:tcPr>
          <w:p w:rsidRPr="00D20755" w:rsidR="003650C1" w:rsidP="705B34F6" w:rsidRDefault="00A643BC" w14:paraId="48760C6E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  <w:u w:val="single"/>
                <w:lang w:eastAsia="pt-BR"/>
              </w:rPr>
            </w:pPr>
            <w:r w:rsidRPr="705B34F6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705B34F6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705B34F6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705B34F6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D20755" w:rsidR="003650C1" w:rsidP="705B34F6" w:rsidRDefault="003650C1" w14:paraId="5630AD66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B08BA" w:rsidR="003650C1" w:rsidP="705B34F6" w:rsidRDefault="003650C1" w14:paraId="5AE21827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05B34F6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20755" w:rsidR="00337FD3" w:rsidTr="705B34F6" w14:paraId="77E3C9AB" wp14:textId="77777777">
        <w:tc>
          <w:tcPr>
            <w:tcW w:w="10773" w:type="dxa"/>
            <w:tcMar/>
          </w:tcPr>
          <w:p w:rsidRPr="005C6061" w:rsidR="00337FD3" w:rsidP="705B34F6" w:rsidRDefault="00337FD3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5A4238" w:rsidR="00337FD3" w:rsidP="705B34F6" w:rsidRDefault="00337FD3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5A4238" w:rsidR="00337FD3" w:rsidP="705B34F6" w:rsidRDefault="00337FD3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337FD3" w:rsidP="705B34F6" w:rsidRDefault="00337FD3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705B34F6" w:rsidR="00337FD3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D20755" w:rsidR="003650C1" w:rsidP="705B34F6" w:rsidRDefault="003650C1" w14:paraId="61829076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B08BA" w:rsidR="000B08BA" w:rsidTr="705B34F6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B08BA" w:rsidR="003650C1" w:rsidP="705B34F6" w:rsidRDefault="003650C1" w14:paraId="5DC42E27" wp14:textId="77777777">
            <w:pPr>
              <w:pStyle w:val="Textodecomentrio"/>
              <w:spacing w:line="276" w:lineRule="auto"/>
              <w:jc w:val="both"/>
              <w:rPr>
                <w:rFonts w:ascii="Arial" w:hAnsi="Arial" w:eastAsia="Arial" w:cs="Arial"/>
                <w:color w:val="auto" w:themeColor="background1"/>
                <w:sz w:val="22"/>
                <w:szCs w:val="22"/>
              </w:rPr>
            </w:pPr>
            <w:r w:rsidRPr="705B34F6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20755" w:rsidR="00D20755" w:rsidTr="705B34F6" w14:paraId="2B5F5C75" wp14:textId="77777777">
        <w:tc>
          <w:tcPr>
            <w:tcW w:w="10773" w:type="dxa"/>
            <w:tcMar/>
          </w:tcPr>
          <w:p w:rsidR="0095468B" w:rsidP="705B34F6" w:rsidRDefault="0095468B" w14:paraId="0C93D5DA" wp14:textId="6044B000">
            <w:pPr>
              <w:spacing w:line="276" w:lineRule="auto"/>
              <w:jc w:val="both"/>
              <w:outlineLvl w:val="3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95468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1968F6A5" w:rsidP="705B34F6" w:rsidRDefault="1968F6A5" w14:paraId="03FAAC65" w14:textId="7F7E56F5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TAKEUCHI, </w:t>
            </w:r>
            <w:proofErr w:type="spell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Hirotaka</w:t>
            </w:r>
            <w:proofErr w:type="spell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; NONAKA, </w:t>
            </w:r>
            <w:proofErr w:type="spell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Ikujiro</w:t>
            </w:r>
            <w:proofErr w:type="spell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Gestão do Conhecimento: Grupo A, 2008. 9788577802296. Disponível em: 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https://integrada.minhabiblioteca.com.br/#/books/9788577802296/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 </w:t>
            </w:r>
          </w:p>
          <w:p w:rsidR="1968F6A5" w:rsidP="705B34F6" w:rsidRDefault="1968F6A5" w14:paraId="7DACC8AA" w14:textId="4D385573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  <w:p w:rsidR="1968F6A5" w:rsidP="705B34F6" w:rsidRDefault="1968F6A5" w14:paraId="7CD4C765" w14:textId="10C22804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FLEURY, Maria Tereza L.; JR., Moacir de Miranda O. Gestão estratégica do conhecimento - Integrando aprendizagem, conhecimento e </w:t>
            </w:r>
            <w:proofErr w:type="spell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compentências</w:t>
            </w:r>
            <w:proofErr w:type="spell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: Grupo GEN, 2011. 9788522468300. Disponível em: 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https://integrada.minhabiblioteca.com.br/#/books/9788522468300/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 </w:t>
            </w:r>
          </w:p>
          <w:p w:rsidR="1968F6A5" w:rsidP="705B34F6" w:rsidRDefault="1968F6A5" w14:paraId="0823C0FC" w14:textId="0DBF26C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  <w:p w:rsidR="1968F6A5" w:rsidP="705B34F6" w:rsidRDefault="1968F6A5" w14:paraId="3EC335DD" w14:textId="1EA342C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NETO, </w:t>
            </w:r>
            <w:proofErr w:type="spell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Rivadávia</w:t>
            </w:r>
            <w:proofErr w:type="spell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Correa Drummond de A. Gestão do Conhecimento em Organizações: Proposta de Mapeamento </w:t>
            </w:r>
            <w:proofErr w:type="spell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Coneitual</w:t>
            </w:r>
            <w:proofErr w:type="spell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Integrativo: Editora Saraiva, 2007. 9788502117211. Disponível em: https://integrada.minhabiblioteca.com.br/#/books/9788502117211/.  </w:t>
            </w:r>
          </w:p>
          <w:p w:rsidRPr="00D20755" w:rsidR="0095468B" w:rsidP="705B34F6" w:rsidRDefault="0095468B" w14:paraId="66204FF1" wp14:textId="77777777">
            <w:pPr>
              <w:spacing w:line="276" w:lineRule="auto"/>
              <w:jc w:val="both"/>
              <w:outlineLvl w:val="3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</w:p>
          <w:p w:rsidR="0095468B" w:rsidP="705B34F6" w:rsidRDefault="0095468B" w14:paraId="6BA90D65" wp14:textId="777D22C4">
            <w:pPr>
              <w:spacing w:line="276" w:lineRule="auto"/>
              <w:jc w:val="both"/>
              <w:outlineLvl w:val="3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05B34F6" w:rsidR="0095468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7C561A" w:rsidR="00D572E3" w:rsidP="705B34F6" w:rsidRDefault="0095468B" w14:paraId="7A1F91CA" wp14:textId="40519C7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FAYARD, Pierre. O inovador modelo japonês de gestão do conhecimento</w:t>
            </w:r>
            <w:proofErr w:type="gram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. :</w:t>
            </w:r>
            <w:proofErr w:type="gram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Grupo A, 2009. 9788577806195. Disponível em: 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https://integrada.minhabiblioteca.com.br/#/books/9788577806195/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 </w:t>
            </w:r>
          </w:p>
          <w:p w:rsidRPr="007C561A" w:rsidR="00D572E3" w:rsidP="705B34F6" w:rsidRDefault="0095468B" w14:paraId="353FA465" wp14:textId="7B7679A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SORDI, José Osvaldo D. Administração da informação: fundamentos e práticas para uma nova gestão do conhecimento.: Editora Saraiva, 2015. 9788502634817. Disponível em: 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https://integrada.minhabiblioteca.com.br/#/books/9788502634817/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 </w:t>
            </w:r>
          </w:p>
          <w:p w:rsidRPr="007C561A" w:rsidR="00D572E3" w:rsidP="705B34F6" w:rsidRDefault="0095468B" w14:paraId="79C89B9E" wp14:textId="0DECFC8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SABBAG, Paulo Y. Organização, Conhecimento e Educação.: Editora Alta Books, 2018. 9788550810430. Disponível em: 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https://integrada.minhabiblioteca.com.br/#/books/9788550810430/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 </w:t>
            </w:r>
          </w:p>
          <w:p w:rsidRPr="007C561A" w:rsidR="00D572E3" w:rsidP="705B34F6" w:rsidRDefault="0095468B" w14:paraId="6B6361C6" wp14:textId="2FE1462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BECKER, Fernando. Educação e construção do conhecimento.: Grupo A, 2012. 9788563899835. Disponível em: 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https://integrada.minhabiblioteca.com.br/#/books/9788563899835/</w:t>
            </w: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</w:t>
            </w:r>
          </w:p>
          <w:p w:rsidRPr="007C561A" w:rsidR="00D572E3" w:rsidP="705B34F6" w:rsidRDefault="0095468B" w14:paraId="3F848217" wp14:textId="068BB1B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ROSINI, Alessandro M.; PALMISANO, </w:t>
            </w:r>
            <w:proofErr w:type="spell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Angelo</w:t>
            </w:r>
            <w:proofErr w:type="spell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. Administração de Sistemas de Informação - E a gestão do conhecimento - 2ª edição revista e ampliada</w:t>
            </w:r>
            <w:proofErr w:type="gram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. :</w:t>
            </w:r>
            <w:proofErr w:type="gram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>Cengage</w:t>
            </w:r>
            <w:proofErr w:type="spellEnd"/>
            <w:r w:rsidRPr="705B34F6" w:rsidR="1968F6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Learning Brasil, 2013. 9788522114672. Disponível em: https://integrada.minhabiblioteca.com.br/#/books/9788522114672/.  </w:t>
            </w:r>
          </w:p>
        </w:tc>
      </w:tr>
    </w:tbl>
    <w:p xmlns:wp14="http://schemas.microsoft.com/office/word/2010/wordml" w:rsidRPr="00D20755" w:rsidR="000F03CA" w:rsidP="705B34F6" w:rsidRDefault="000F03CA" w14:paraId="296FEF7D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F50369" w:rsidP="705B34F6" w:rsidRDefault="00093AB1" w14:paraId="74C7F328" wp14:textId="77777777">
      <w:pPr>
        <w:spacing w:after="0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705B34F6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 </w:t>
      </w:r>
      <w:r w:rsidRPr="705B34F6" w:rsidR="0084785A">
        <w:rPr>
          <w:rFonts w:ascii="Arial" w:hAnsi="Arial" w:eastAsia="Arial" w:cs="Arial"/>
          <w:color w:val="auto"/>
          <w:sz w:val="22"/>
          <w:szCs w:val="22"/>
          <w:lang w:eastAsia="pt-BR"/>
        </w:rPr>
        <w:t>0</w:t>
      </w:r>
      <w:r w:rsidRPr="705B34F6" w:rsidR="0042344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5 </w:t>
      </w:r>
      <w:r w:rsidRPr="705B34F6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>de</w:t>
      </w:r>
      <w:r w:rsidRPr="705B34F6" w:rsidR="00B25DC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proofErr w:type="gramStart"/>
      <w:r w:rsidRPr="705B34F6" w:rsidR="00B25DC5">
        <w:rPr>
          <w:rFonts w:ascii="Arial" w:hAnsi="Arial" w:eastAsia="Arial" w:cs="Arial"/>
          <w:color w:val="auto"/>
          <w:sz w:val="22"/>
          <w:szCs w:val="22"/>
          <w:lang w:eastAsia="pt-BR"/>
        </w:rPr>
        <w:t>abril</w:t>
      </w:r>
      <w:r w:rsidRPr="705B34F6" w:rsidR="00337FD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705B34F6" w:rsidR="0084785A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705B34F6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de</w:t>
      </w:r>
      <w:proofErr w:type="gramEnd"/>
      <w:r w:rsidRPr="705B34F6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705B34F6" w:rsidR="00CC140C">
        <w:rPr>
          <w:rFonts w:ascii="Arial" w:hAnsi="Arial" w:eastAsia="Arial" w:cs="Arial"/>
          <w:color w:val="auto"/>
          <w:sz w:val="22"/>
          <w:szCs w:val="22"/>
          <w:lang w:eastAsia="pt-BR"/>
        </w:rPr>
        <w:t>202</w:t>
      </w:r>
      <w:r w:rsidRPr="705B34F6" w:rsidR="00B25DC5">
        <w:rPr>
          <w:rFonts w:ascii="Arial" w:hAnsi="Arial" w:eastAsia="Arial" w:cs="Arial"/>
          <w:color w:val="auto"/>
          <w:sz w:val="22"/>
          <w:szCs w:val="22"/>
          <w:lang w:eastAsia="pt-BR"/>
        </w:rPr>
        <w:t>1</w:t>
      </w:r>
      <w:r w:rsidRPr="705B34F6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. </w:t>
      </w:r>
    </w:p>
    <w:p xmlns:wp14="http://schemas.microsoft.com/office/word/2010/wordml" w:rsidR="00071A00" w:rsidP="705B34F6" w:rsidRDefault="00071A00" w14:paraId="7194DBDC" wp14:textId="77777777">
      <w:pPr>
        <w:spacing w:after="0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071A00" w:rsidP="705B34F6" w:rsidRDefault="00071A00" w14:paraId="54CD245A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071A00" w:rsidP="705B34F6" w:rsidRDefault="00B25DC5" w14:paraId="37BC8918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b/>
          <w:bCs/>
          <w:noProof/>
          <w:color w:val="000000" w:themeColor="text1"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6D9933AB" wp14:editId="296019D7">
            <wp:simplePos x="0" y="0"/>
            <wp:positionH relativeFrom="column">
              <wp:posOffset>1310005</wp:posOffset>
            </wp:positionH>
            <wp:positionV relativeFrom="paragraph">
              <wp:posOffset>57150</wp:posOffset>
            </wp:positionV>
            <wp:extent cx="4018280" cy="531495"/>
            <wp:effectExtent l="0" t="0" r="1270" b="1905"/>
            <wp:wrapNone/>
            <wp:docPr id="2" name="Imagem 2" descr="C:\Users\josely\Documents\Assinaturas Digitais - Professores\Vera Mota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Vera Mota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60"/>
                    <a:stretch/>
                  </pic:blipFill>
                  <pic:spPr bwMode="auto">
                    <a:xfrm>
                      <a:off x="0" y="0"/>
                      <a:ext cx="401828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71A00" w:rsidP="705B34F6" w:rsidRDefault="00071A00" w14:paraId="1231BE67" wp14:textId="77777777">
      <w:pPr>
        <w:tabs>
          <w:tab w:val="center" w:pos="4419"/>
          <w:tab w:val="right" w:pos="8838"/>
        </w:tabs>
        <w:spacing w:after="0" w:line="240" w:lineRule="auto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B25DC5" w:rsidP="705B34F6" w:rsidRDefault="00B25DC5" w14:paraId="36FEB5B0" wp14:textId="77777777">
      <w:pPr>
        <w:spacing w:after="0"/>
        <w:jc w:val="right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FF1E33" w:rsidR="00071A00" w:rsidP="705B34F6" w:rsidRDefault="00071A00" w14:paraId="331F622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proofErr w:type="spellStart"/>
      <w:r w:rsidRPr="705B34F6" w:rsidR="00071A0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Profª</w:t>
      </w:r>
      <w:proofErr w:type="spellEnd"/>
      <w:r w:rsidRPr="705B34F6" w:rsidR="00071A0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. </w:t>
      </w:r>
      <w:proofErr w:type="spellStart"/>
      <w:r w:rsidRPr="705B34F6" w:rsidR="00071A0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705B34F6" w:rsidR="00071A0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705B34F6" w:rsidR="00071A0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Vera Mota da Silva Barbosa</w:t>
      </w:r>
    </w:p>
    <w:p xmlns:wp14="http://schemas.microsoft.com/office/word/2010/wordml" w:rsidR="00071A00" w:rsidP="705B34F6" w:rsidRDefault="00071A00" w14:paraId="64F5E5E7" wp14:textId="77777777">
      <w:pPr>
        <w:spacing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705B34F6" w:rsidR="00071A00">
        <w:rPr>
          <w:rFonts w:ascii="Arial" w:hAnsi="Arial" w:eastAsia="Arial" w:cs="Arial"/>
          <w:color w:val="auto"/>
          <w:sz w:val="22"/>
          <w:szCs w:val="22"/>
          <w:lang w:eastAsia="pt-BR"/>
        </w:rPr>
        <w:t>ROFESSOR</w:t>
      </w:r>
      <w:r w:rsidRPr="705B34F6" w:rsidR="00071A0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 </w:t>
      </w:r>
      <w:r w:rsidRPr="705B34F6" w:rsidR="00071A0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RESPONSÁVEL </w:t>
      </w:r>
      <w:r w:rsidRPr="705B34F6" w:rsidR="00071A00"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  <w:t>P</w:t>
      </w:r>
      <w:r w:rsidRPr="705B34F6" w:rsidR="00071A00">
        <w:rPr>
          <w:rFonts w:ascii="Arial" w:hAnsi="Arial" w:eastAsia="Arial" w:cs="Arial"/>
          <w:color w:val="auto"/>
          <w:sz w:val="22"/>
          <w:szCs w:val="22"/>
          <w:lang w:eastAsia="pt-BR"/>
        </w:rPr>
        <w:t>ELA DISCIPLINA</w:t>
      </w:r>
    </w:p>
    <w:p xmlns:wp14="http://schemas.microsoft.com/office/word/2010/wordml" w:rsidR="00071A00" w:rsidP="705B34F6" w:rsidRDefault="00071A00" w14:paraId="30D7AA69" wp14:textId="77777777">
      <w:pPr>
        <w:spacing w:after="0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0B08BA" w:rsidP="705B34F6" w:rsidRDefault="00B25DC5" w14:paraId="79E7D876" wp14:textId="5D683860" wp14:noSpellErr="1">
      <w:pPr>
        <w:spacing w:after="0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sectPr w:rsidR="000B08BA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235B7" w:rsidP="00B83E08" w:rsidRDefault="006235B7" w14:paraId="7196D06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235B7" w:rsidP="00B83E08" w:rsidRDefault="006235B7" w14:paraId="34FF1C9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337FD3" w14:paraId="1BC7641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2AC23A72" wp14:editId="7777777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7C1862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6659F34F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337143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7C1862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7C1862" w:rsidP="007C1862" w:rsidRDefault="007C1862" w14:paraId="6FFA300E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337FD3" w14:paraId="11688492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0C7B9581" wp14:editId="777777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1C5C31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78589BE4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46733E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1C5C31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31" w:rsidP="001C5C31" w:rsidRDefault="001C5C31" w14:paraId="460B0A8C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235B7" w:rsidP="00B83E08" w:rsidRDefault="006235B7" w14:paraId="6BD18F9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235B7" w:rsidP="00B83E08" w:rsidRDefault="006235B7" w14:paraId="238601F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87EC2" w14:paraId="04CBB5B6" wp14:textId="77777777">
    <w:pPr>
      <w:pStyle w:val="Cabealho"/>
    </w:pP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w:drawing>
        <wp:anchor xmlns:wp14="http://schemas.microsoft.com/office/word/2010/wordprocessingDrawing" distT="0" distB="0" distL="114300" distR="114300" simplePos="0" relativeHeight="251671552" behindDoc="1" locked="0" layoutInCell="1" allowOverlap="1" wp14:anchorId="66FD98EC" wp14:editId="29E085AE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:rsidR="00B83E08" w:rsidRDefault="009171FA" w14:paraId="71AF1657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57525ED" wp14:editId="1A3CB40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E29E1" w14:paraId="7186AA9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75648" behindDoc="1" locked="0" layoutInCell="1" allowOverlap="1" wp14:anchorId="25D3AD4A" wp14:editId="44ABB890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D3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D08096D" wp14:editId="777777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7357C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37FD3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7A4E2B21" wp14:editId="7777777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687127C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337FD3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72185F2" wp14:editId="777777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FFD8E1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6D072C0D" wp14:textId="77777777">
    <w:pPr>
      <w:pStyle w:val="Cabealho"/>
    </w:pPr>
  </w:p>
  <w:p xmlns:wp14="http://schemas.microsoft.com/office/word/2010/wordml" w:rsidR="00926BE7" w:rsidP="000F03CA" w:rsidRDefault="00926BE7" w14:paraId="48A21919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0AD44D80" wp14:editId="0DADCB2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4AC8"/>
    <w:multiLevelType w:val="multilevel"/>
    <w:tmpl w:val="636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0A667E8"/>
    <w:multiLevelType w:val="multilevel"/>
    <w:tmpl w:val="E6A29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71A00"/>
    <w:rsid w:val="00093AB1"/>
    <w:rsid w:val="000A63B0"/>
    <w:rsid w:val="000B08BA"/>
    <w:rsid w:val="000C3F9A"/>
    <w:rsid w:val="000C6047"/>
    <w:rsid w:val="000D1F71"/>
    <w:rsid w:val="000D7940"/>
    <w:rsid w:val="000F03CA"/>
    <w:rsid w:val="000F3AA3"/>
    <w:rsid w:val="000F5D35"/>
    <w:rsid w:val="00100AE1"/>
    <w:rsid w:val="001031DB"/>
    <w:rsid w:val="00107741"/>
    <w:rsid w:val="00117602"/>
    <w:rsid w:val="001205B2"/>
    <w:rsid w:val="001222B2"/>
    <w:rsid w:val="00124A38"/>
    <w:rsid w:val="001270F8"/>
    <w:rsid w:val="0015066B"/>
    <w:rsid w:val="00152352"/>
    <w:rsid w:val="00164D01"/>
    <w:rsid w:val="00176689"/>
    <w:rsid w:val="001975E7"/>
    <w:rsid w:val="001A52CE"/>
    <w:rsid w:val="001B04CB"/>
    <w:rsid w:val="001B3AAD"/>
    <w:rsid w:val="001C0B6F"/>
    <w:rsid w:val="001C33DA"/>
    <w:rsid w:val="001C5C31"/>
    <w:rsid w:val="001E3B2A"/>
    <w:rsid w:val="002228D2"/>
    <w:rsid w:val="00227A53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090F"/>
    <w:rsid w:val="002B26B6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37FD3"/>
    <w:rsid w:val="00345508"/>
    <w:rsid w:val="003650C1"/>
    <w:rsid w:val="00367DAE"/>
    <w:rsid w:val="0037685E"/>
    <w:rsid w:val="00385193"/>
    <w:rsid w:val="00392AA5"/>
    <w:rsid w:val="00395957"/>
    <w:rsid w:val="00396027"/>
    <w:rsid w:val="003A65D3"/>
    <w:rsid w:val="003B43B7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20F76"/>
    <w:rsid w:val="0042147A"/>
    <w:rsid w:val="00423440"/>
    <w:rsid w:val="00442F62"/>
    <w:rsid w:val="004603E8"/>
    <w:rsid w:val="004659F2"/>
    <w:rsid w:val="004C06F0"/>
    <w:rsid w:val="004D5709"/>
    <w:rsid w:val="004E33FB"/>
    <w:rsid w:val="004E4171"/>
    <w:rsid w:val="004F35AB"/>
    <w:rsid w:val="005118AD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D037B"/>
    <w:rsid w:val="005E33D8"/>
    <w:rsid w:val="005E68D4"/>
    <w:rsid w:val="005F7CC0"/>
    <w:rsid w:val="00604D9A"/>
    <w:rsid w:val="0062136D"/>
    <w:rsid w:val="006235B7"/>
    <w:rsid w:val="00623A46"/>
    <w:rsid w:val="00624DC5"/>
    <w:rsid w:val="00637265"/>
    <w:rsid w:val="00661078"/>
    <w:rsid w:val="00662D55"/>
    <w:rsid w:val="00662F9C"/>
    <w:rsid w:val="00667555"/>
    <w:rsid w:val="00694498"/>
    <w:rsid w:val="006955AE"/>
    <w:rsid w:val="006A0F82"/>
    <w:rsid w:val="006A355B"/>
    <w:rsid w:val="006B4369"/>
    <w:rsid w:val="006C0803"/>
    <w:rsid w:val="006D3B0F"/>
    <w:rsid w:val="006E72F6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829E2"/>
    <w:rsid w:val="00792025"/>
    <w:rsid w:val="007974A2"/>
    <w:rsid w:val="007A040D"/>
    <w:rsid w:val="007A6A8A"/>
    <w:rsid w:val="007A6E3D"/>
    <w:rsid w:val="007C1862"/>
    <w:rsid w:val="007C561A"/>
    <w:rsid w:val="007E0DD2"/>
    <w:rsid w:val="007F1189"/>
    <w:rsid w:val="007F290C"/>
    <w:rsid w:val="00805E63"/>
    <w:rsid w:val="008209C0"/>
    <w:rsid w:val="00823C9A"/>
    <w:rsid w:val="0084785A"/>
    <w:rsid w:val="00850574"/>
    <w:rsid w:val="00851185"/>
    <w:rsid w:val="00864F4E"/>
    <w:rsid w:val="00877183"/>
    <w:rsid w:val="008B13F2"/>
    <w:rsid w:val="008B79AF"/>
    <w:rsid w:val="008C221F"/>
    <w:rsid w:val="008C74DA"/>
    <w:rsid w:val="008D2597"/>
    <w:rsid w:val="008E0489"/>
    <w:rsid w:val="008F771D"/>
    <w:rsid w:val="00911FC3"/>
    <w:rsid w:val="0091522C"/>
    <w:rsid w:val="00916F73"/>
    <w:rsid w:val="009171FA"/>
    <w:rsid w:val="00917F23"/>
    <w:rsid w:val="00926BE7"/>
    <w:rsid w:val="00932274"/>
    <w:rsid w:val="009369E2"/>
    <w:rsid w:val="009421CE"/>
    <w:rsid w:val="00944CD8"/>
    <w:rsid w:val="0095468B"/>
    <w:rsid w:val="00954A12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4FFF"/>
    <w:rsid w:val="00AF71DB"/>
    <w:rsid w:val="00B02CDF"/>
    <w:rsid w:val="00B10FC6"/>
    <w:rsid w:val="00B25DC5"/>
    <w:rsid w:val="00B3127B"/>
    <w:rsid w:val="00B31E47"/>
    <w:rsid w:val="00B450A4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C055B0"/>
    <w:rsid w:val="00C13FE9"/>
    <w:rsid w:val="00C2123C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B75F6"/>
    <w:rsid w:val="00CC140C"/>
    <w:rsid w:val="00CC2276"/>
    <w:rsid w:val="00CC6581"/>
    <w:rsid w:val="00CE07D3"/>
    <w:rsid w:val="00CE72D1"/>
    <w:rsid w:val="00CF3249"/>
    <w:rsid w:val="00CF6D16"/>
    <w:rsid w:val="00D04B33"/>
    <w:rsid w:val="00D15B8C"/>
    <w:rsid w:val="00D20755"/>
    <w:rsid w:val="00D24B40"/>
    <w:rsid w:val="00D3023A"/>
    <w:rsid w:val="00D30510"/>
    <w:rsid w:val="00D322EE"/>
    <w:rsid w:val="00D3269C"/>
    <w:rsid w:val="00D412F2"/>
    <w:rsid w:val="00D435D4"/>
    <w:rsid w:val="00D45627"/>
    <w:rsid w:val="00D54E05"/>
    <w:rsid w:val="00D572E3"/>
    <w:rsid w:val="00D7137C"/>
    <w:rsid w:val="00D75930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1968F6A5"/>
    <w:rsid w:val="65D585B9"/>
    <w:rsid w:val="705B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CFCB0"/>
  <w15:docId w15:val="{14829E1D-9C23-4A95-8BFE-E7E4080267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829E2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42F62"/>
    <w:rPr>
      <w:b/>
      <w:bCs/>
    </w:rPr>
  </w:style>
  <w:style w:type="character" w:styleId="nfase">
    <w:name w:val="Emphasis"/>
    <w:basedOn w:val="Fontepargpadro"/>
    <w:uiPriority w:val="20"/>
    <w:qFormat/>
    <w:rsid w:val="00442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829E2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42F62"/>
    <w:rPr>
      <w:b/>
      <w:bCs/>
    </w:rPr>
  </w:style>
  <w:style w:type="character" w:styleId="nfase">
    <w:name w:val="Emphasis"/>
    <w:basedOn w:val="Fontepargpadro"/>
    <w:uiPriority w:val="20"/>
    <w:qFormat/>
    <w:rsid w:val="00442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3B61-3612-4D66-AF93-F1E3E7C3DE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2021-04-08T13:04:00.0000000Z</dcterms:created>
  <dcterms:modified xsi:type="dcterms:W3CDTF">2022-08-26T15:45:21.6274562Z</dcterms:modified>
</coreProperties>
</file>